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D" w:rsidRDefault="00F4447D" w:rsidP="00F4447D">
      <w:pPr>
        <w:tabs>
          <w:tab w:val="right" w:pos="9355"/>
        </w:tabs>
        <w:jc w:val="center"/>
        <w:rPr>
          <w:b/>
          <w:color w:val="D12C3A"/>
          <w:spacing w:val="26"/>
        </w:rPr>
      </w:pPr>
      <w:r>
        <w:rPr>
          <w:b/>
          <w:noProof/>
          <w:color w:val="D12C3A"/>
          <w:lang w:val="ru-RU" w:eastAsia="ru-RU"/>
        </w:rPr>
        <w:drawing>
          <wp:inline distT="0" distB="0" distL="0" distR="0" wp14:anchorId="63AC4998" wp14:editId="63904826">
            <wp:extent cx="525407" cy="36000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R_logo1-truba-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407" cy="360000"/>
                    </a:xfrm>
                    <a:prstGeom prst="rect">
                      <a:avLst/>
                    </a:prstGeom>
                  </pic:spPr>
                </pic:pic>
              </a:graphicData>
            </a:graphic>
          </wp:inline>
        </w:drawing>
      </w:r>
    </w:p>
    <w:p w:rsidR="00F4447D" w:rsidRDefault="00F4447D" w:rsidP="00F4447D">
      <w:pPr>
        <w:tabs>
          <w:tab w:val="right" w:pos="9355"/>
        </w:tabs>
        <w:spacing w:after="0" w:line="240" w:lineRule="auto"/>
        <w:jc w:val="center"/>
        <w:rPr>
          <w:rFonts w:ascii="Arial" w:hAnsi="Arial" w:cs="Arial"/>
          <w:b/>
          <w:color w:val="D12C3A"/>
          <w:spacing w:val="24"/>
          <w:sz w:val="24"/>
          <w:szCs w:val="24"/>
        </w:rPr>
      </w:pPr>
      <w:r>
        <w:rPr>
          <w:rFonts w:ascii="Arial" w:hAnsi="Arial"/>
          <w:b/>
          <w:color w:val="D12C3A"/>
          <w:sz w:val="24"/>
          <w:szCs w:val="24"/>
        </w:rPr>
        <w:t>Joint Stock Company</w:t>
      </w:r>
    </w:p>
    <w:p w:rsidR="00F4447D" w:rsidRPr="00704397" w:rsidRDefault="00F4447D" w:rsidP="00F4447D">
      <w:pPr>
        <w:tabs>
          <w:tab w:val="right" w:pos="9355"/>
        </w:tabs>
        <w:spacing w:after="0" w:line="240" w:lineRule="auto"/>
        <w:jc w:val="center"/>
        <w:rPr>
          <w:rFonts w:ascii="Arial" w:hAnsi="Arial" w:cs="Arial"/>
          <w:b/>
          <w:color w:val="0022A3"/>
          <w:spacing w:val="20"/>
          <w:sz w:val="28"/>
          <w:szCs w:val="28"/>
        </w:rPr>
      </w:pPr>
      <w:r>
        <w:rPr>
          <w:rFonts w:ascii="Arial" w:hAnsi="Arial"/>
          <w:b/>
          <w:color w:val="0022A3"/>
          <w:sz w:val="28"/>
          <w:szCs w:val="28"/>
        </w:rPr>
        <w:t>Caspian Pipeline Consortium-R</w:t>
      </w:r>
    </w:p>
    <w:p w:rsidR="0007138E" w:rsidRDefault="0007138E" w:rsidP="0007138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bCs/>
          <w:sz w:val="24"/>
          <w:szCs w:val="24"/>
        </w:rPr>
        <w:t>APPROVED</w:t>
      </w:r>
    </w:p>
    <w:p w:rsidR="0007138E" w:rsidRPr="005F0124" w:rsidRDefault="0007138E" w:rsidP="0007138E">
      <w:pPr>
        <w:autoSpaceDE w:val="0"/>
        <w:autoSpaceDN w:val="0"/>
        <w:adjustRightInd w:val="0"/>
        <w:spacing w:after="0" w:line="240" w:lineRule="auto"/>
        <w:jc w:val="right"/>
        <w:rPr>
          <w:rFonts w:ascii="Times New Roman" w:hAnsi="Times New Roman" w:cs="Times New Roman"/>
          <w:bCs/>
          <w:sz w:val="24"/>
          <w:szCs w:val="24"/>
        </w:rPr>
      </w:pPr>
    </w:p>
    <w:p w:rsidR="0007138E" w:rsidRDefault="0007138E" w:rsidP="0007138E">
      <w:pPr>
        <w:jc w:val="right"/>
        <w:rPr>
          <w:sz w:val="24"/>
          <w:szCs w:val="24"/>
        </w:rPr>
      </w:pPr>
      <w:r>
        <w:rPr>
          <w:rFonts w:ascii="Times New Roman" w:hAnsi="Times New Roman"/>
          <w:bCs/>
          <w:sz w:val="24"/>
          <w:szCs w:val="24"/>
        </w:rPr>
        <w:t>_______________</w:t>
      </w:r>
    </w:p>
    <w:p w:rsidR="0007138E" w:rsidRDefault="0007138E" w:rsidP="0007138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bCs/>
          <w:sz w:val="24"/>
          <w:szCs w:val="24"/>
        </w:rPr>
        <w:t>D.V. Dolgushin</w:t>
      </w:r>
    </w:p>
    <w:p w:rsidR="0007138E" w:rsidRDefault="0007138E" w:rsidP="0007138E">
      <w:pPr>
        <w:autoSpaceDE w:val="0"/>
        <w:autoSpaceDN w:val="0"/>
        <w:adjustRightInd w:val="0"/>
        <w:spacing w:after="0" w:line="240" w:lineRule="auto"/>
        <w:rPr>
          <w:rFonts w:ascii="Times New Roman" w:hAnsi="Times New Roman" w:cs="Times New Roman"/>
          <w:b/>
          <w:bCs/>
          <w:sz w:val="32"/>
          <w:szCs w:val="32"/>
        </w:rPr>
      </w:pPr>
    </w:p>
    <w:p w:rsidR="003B6873" w:rsidRPr="00F43CA2" w:rsidRDefault="003B6873" w:rsidP="00420C13">
      <w:pPr>
        <w:jc w:val="center"/>
        <w:rPr>
          <w:rFonts w:ascii="Times New Roman" w:hAnsi="Times New Roman" w:cs="Times New Roman"/>
          <w:sz w:val="28"/>
          <w:szCs w:val="28"/>
        </w:rPr>
      </w:pPr>
    </w:p>
    <w:p w:rsidR="00D1551D" w:rsidRPr="00F43CA2" w:rsidRDefault="00D1551D" w:rsidP="00D1551D">
      <w:pPr>
        <w:jc w:val="center"/>
        <w:rPr>
          <w:rFonts w:ascii="Times New Roman" w:hAnsi="Times New Roman" w:cs="Times New Roman"/>
          <w:b/>
          <w:sz w:val="28"/>
          <w:szCs w:val="28"/>
        </w:rPr>
      </w:pPr>
      <w:r>
        <w:rPr>
          <w:rFonts w:ascii="Times New Roman" w:hAnsi="Times New Roman"/>
          <w:b/>
          <w:sz w:val="28"/>
          <w:szCs w:val="28"/>
        </w:rPr>
        <w:t>TERMS OF REFERENCE</w:t>
      </w:r>
    </w:p>
    <w:p w:rsidR="000A6C36" w:rsidRPr="00F43CA2" w:rsidRDefault="00811E76" w:rsidP="000A6C36">
      <w:pPr>
        <w:jc w:val="center"/>
        <w:rPr>
          <w:rFonts w:ascii="Times New Roman" w:hAnsi="Times New Roman" w:cs="Times New Roman"/>
          <w:sz w:val="28"/>
          <w:szCs w:val="28"/>
        </w:rPr>
      </w:pPr>
      <w:r>
        <w:rPr>
          <w:rFonts w:ascii="Times New Roman" w:hAnsi="Times New Roman"/>
          <w:sz w:val="28"/>
          <w:szCs w:val="28"/>
        </w:rPr>
        <w:t>For the Conclusion of the CPC-R Office Equipment Storage and Transportation Agreement</w:t>
      </w:r>
    </w:p>
    <w:p w:rsidR="000A6C36" w:rsidRPr="006F29C0" w:rsidRDefault="000A6C36" w:rsidP="0007138E">
      <w:pPr>
        <w:rPr>
          <w:rFonts w:ascii="Times New Roman" w:eastAsiaTheme="majorEastAsia" w:hAnsi="Times New Roman" w:cs="Times New Roman"/>
          <w:b/>
        </w:rPr>
      </w:pPr>
    </w:p>
    <w:p w:rsidR="00202FCA" w:rsidRPr="006F29C0" w:rsidRDefault="00F67D2E" w:rsidP="005B3C4E">
      <w:pPr>
        <w:pStyle w:val="Heading112"/>
        <w:rPr>
          <w:sz w:val="22"/>
          <w:szCs w:val="22"/>
        </w:rPr>
      </w:pPr>
      <w:r w:rsidRPr="006F29C0">
        <w:rPr>
          <w:sz w:val="22"/>
          <w:szCs w:val="22"/>
        </w:rPr>
        <w:fldChar w:fldCharType="begin"/>
      </w:r>
      <w:r w:rsidRPr="006F29C0">
        <w:rPr>
          <w:sz w:val="22"/>
          <w:szCs w:val="22"/>
        </w:rPr>
        <w:instrText xml:space="preserve"> TOC \h \z \u \t "Heading 112,1" </w:instrText>
      </w:r>
      <w:r w:rsidRPr="006F29C0">
        <w:rPr>
          <w:sz w:val="22"/>
          <w:szCs w:val="22"/>
        </w:rPr>
        <w:fldChar w:fldCharType="end"/>
      </w:r>
      <w:bookmarkStart w:id="0" w:name="_Toc478747126"/>
      <w:r w:rsidRPr="006F29C0">
        <w:rPr>
          <w:sz w:val="22"/>
          <w:szCs w:val="22"/>
        </w:rPr>
        <w:t>General Provisions</w:t>
      </w:r>
      <w:bookmarkEnd w:id="0"/>
    </w:p>
    <w:p w:rsidR="00202FCA" w:rsidRPr="006F29C0" w:rsidRDefault="00420C13" w:rsidP="00C61456">
      <w:pPr>
        <w:ind w:left="360"/>
        <w:jc w:val="both"/>
        <w:rPr>
          <w:rFonts w:ascii="Times New Roman" w:hAnsi="Times New Roman" w:cs="Times New Roman"/>
        </w:rPr>
      </w:pPr>
      <w:r w:rsidRPr="006F29C0">
        <w:rPr>
          <w:rFonts w:ascii="Times New Roman" w:hAnsi="Times New Roman"/>
        </w:rPr>
        <w:t xml:space="preserve">Caspian Pipeline Consortium (CPC) is the largest international oil transportation project with participation of Russia, Kazakhstan and other leading international producer companies established to construct and operate a &gt;1.5K km trunk pipeline. The CPC trunk pipeline route runs through </w:t>
      </w:r>
      <w:proofErr w:type="spellStart"/>
      <w:r w:rsidRPr="006F29C0">
        <w:rPr>
          <w:rFonts w:ascii="Times New Roman" w:hAnsi="Times New Roman"/>
        </w:rPr>
        <w:t>Atyrau</w:t>
      </w:r>
      <w:proofErr w:type="spellEnd"/>
      <w:r w:rsidRPr="006F29C0">
        <w:rPr>
          <w:rFonts w:ascii="Times New Roman" w:hAnsi="Times New Roman"/>
        </w:rPr>
        <w:t xml:space="preserve"> Region of Kazakhstan and the South of Russia: Astrakhan Region, Republic of Kalmykia, Stavropol </w:t>
      </w:r>
      <w:proofErr w:type="spellStart"/>
      <w:r w:rsidRPr="006F29C0">
        <w:rPr>
          <w:rFonts w:ascii="Times New Roman" w:hAnsi="Times New Roman"/>
        </w:rPr>
        <w:t>Krai</w:t>
      </w:r>
      <w:proofErr w:type="spellEnd"/>
      <w:r w:rsidRPr="006F29C0">
        <w:rPr>
          <w:rFonts w:ascii="Times New Roman" w:hAnsi="Times New Roman"/>
        </w:rPr>
        <w:t xml:space="preserve"> and Krasnodar </w:t>
      </w:r>
      <w:proofErr w:type="spellStart"/>
      <w:r w:rsidRPr="006F29C0">
        <w:rPr>
          <w:rFonts w:ascii="Times New Roman" w:hAnsi="Times New Roman"/>
        </w:rPr>
        <w:t>Krai</w:t>
      </w:r>
      <w:proofErr w:type="spellEnd"/>
      <w:r w:rsidRPr="006F29C0">
        <w:rPr>
          <w:rFonts w:ascii="Times New Roman" w:hAnsi="Times New Roman"/>
        </w:rPr>
        <w:t xml:space="preserve"> (</w:t>
      </w:r>
      <w:hyperlink r:id="rId9" w:history="1">
        <w:r w:rsidRPr="006F29C0">
          <w:rPr>
            <w:rStyle w:val="aa"/>
            <w:rFonts w:ascii="Times New Roman" w:hAnsi="Times New Roman"/>
          </w:rPr>
          <w:t>http://www.cpc.ru</w:t>
        </w:r>
      </w:hyperlink>
      <w:r w:rsidRPr="006F29C0">
        <w:rPr>
          <w:rFonts w:ascii="Times New Roman" w:hAnsi="Times New Roman"/>
        </w:rPr>
        <w:t>).</w:t>
      </w:r>
    </w:p>
    <w:p w:rsidR="00C61456" w:rsidRPr="006F29C0" w:rsidRDefault="00420C13" w:rsidP="000C2403">
      <w:pPr>
        <w:ind w:left="360"/>
        <w:jc w:val="both"/>
        <w:rPr>
          <w:rFonts w:ascii="Times New Roman" w:hAnsi="Times New Roman" w:cs="Times New Roman"/>
        </w:rPr>
      </w:pPr>
      <w:r w:rsidRPr="006F29C0">
        <w:rPr>
          <w:rFonts w:ascii="Times New Roman" w:hAnsi="Times New Roman"/>
        </w:rPr>
        <w:t xml:space="preserve">This tender aims at selecting </w:t>
      </w:r>
      <w:r w:rsidR="00BB5F63">
        <w:rPr>
          <w:rFonts w:ascii="Times New Roman" w:hAnsi="Times New Roman"/>
        </w:rPr>
        <w:t>The Keeper</w:t>
      </w:r>
      <w:r w:rsidRPr="006F29C0">
        <w:rPr>
          <w:rFonts w:ascii="Times New Roman" w:hAnsi="Times New Roman"/>
        </w:rPr>
        <w:t xml:space="preserve"> of the CPC Moscow Office property providing also associated services such as transportation, assembling, disassembling, </w:t>
      </w:r>
      <w:proofErr w:type="gramStart"/>
      <w:r w:rsidRPr="006F29C0">
        <w:rPr>
          <w:rFonts w:ascii="Times New Roman" w:hAnsi="Times New Roman"/>
        </w:rPr>
        <w:t>moving</w:t>
      </w:r>
      <w:proofErr w:type="gramEnd"/>
      <w:r w:rsidRPr="006F29C0">
        <w:rPr>
          <w:rFonts w:ascii="Times New Roman" w:hAnsi="Times New Roman"/>
        </w:rPr>
        <w:t xml:space="preserve">. </w:t>
      </w:r>
      <w:bookmarkStart w:id="1" w:name="_Toc478747127"/>
      <w:r w:rsidRPr="006F29C0">
        <w:rPr>
          <w:rFonts w:ascii="Times New Roman" w:hAnsi="Times New Roman"/>
        </w:rPr>
        <w:t xml:space="preserve">The Moscow Office is located </w:t>
      </w:r>
      <w:proofErr w:type="gramStart"/>
      <w:r w:rsidRPr="006F29C0">
        <w:rPr>
          <w:rFonts w:ascii="Times New Roman" w:hAnsi="Times New Roman"/>
        </w:rPr>
        <w:t>at:</w:t>
      </w:r>
      <w:proofErr w:type="gramEnd"/>
      <w:r w:rsidRPr="006F29C0">
        <w:rPr>
          <w:rFonts w:ascii="Times New Roman" w:hAnsi="Times New Roman"/>
        </w:rPr>
        <w:t xml:space="preserve"> Moscow, </w:t>
      </w:r>
      <w:proofErr w:type="spellStart"/>
      <w:r w:rsidRPr="006F29C0">
        <w:rPr>
          <w:rFonts w:ascii="Times New Roman" w:hAnsi="Times New Roman"/>
        </w:rPr>
        <w:t>Pavlovskaya</w:t>
      </w:r>
      <w:proofErr w:type="spellEnd"/>
      <w:r w:rsidRPr="006F29C0">
        <w:rPr>
          <w:rFonts w:ascii="Times New Roman" w:hAnsi="Times New Roman"/>
        </w:rPr>
        <w:t xml:space="preserve"> </w:t>
      </w:r>
      <w:proofErr w:type="spellStart"/>
      <w:r w:rsidRPr="006F29C0">
        <w:rPr>
          <w:rFonts w:ascii="Times New Roman" w:hAnsi="Times New Roman"/>
        </w:rPr>
        <w:t>Str</w:t>
      </w:r>
      <w:proofErr w:type="spellEnd"/>
      <w:r w:rsidRPr="006F29C0">
        <w:rPr>
          <w:rFonts w:ascii="Times New Roman" w:hAnsi="Times New Roman"/>
        </w:rPr>
        <w:t xml:space="preserve">, 7, </w:t>
      </w:r>
      <w:proofErr w:type="spellStart"/>
      <w:r w:rsidRPr="006F29C0">
        <w:rPr>
          <w:rFonts w:ascii="Times New Roman" w:hAnsi="Times New Roman"/>
        </w:rPr>
        <w:t>bdg</w:t>
      </w:r>
      <w:proofErr w:type="spellEnd"/>
      <w:r w:rsidRPr="006F29C0">
        <w:rPr>
          <w:rFonts w:ascii="Times New Roman" w:hAnsi="Times New Roman"/>
        </w:rPr>
        <w:t>. 1.</w:t>
      </w:r>
    </w:p>
    <w:p w:rsidR="00141A04" w:rsidRPr="006F29C0" w:rsidRDefault="00141A04" w:rsidP="000C2403">
      <w:pPr>
        <w:ind w:left="360"/>
        <w:jc w:val="both"/>
        <w:rPr>
          <w:rFonts w:ascii="Times New Roman" w:hAnsi="Times New Roman" w:cs="Times New Roman"/>
        </w:rPr>
      </w:pPr>
    </w:p>
    <w:p w:rsidR="0066543D" w:rsidRPr="006F29C0" w:rsidRDefault="0066543D" w:rsidP="005B3C4E">
      <w:pPr>
        <w:pStyle w:val="Heading112"/>
        <w:rPr>
          <w:sz w:val="22"/>
          <w:szCs w:val="22"/>
        </w:rPr>
      </w:pPr>
      <w:bookmarkStart w:id="2" w:name="_Toc478747129"/>
      <w:bookmarkEnd w:id="1"/>
      <w:r w:rsidRPr="006F29C0">
        <w:rPr>
          <w:sz w:val="22"/>
          <w:szCs w:val="22"/>
        </w:rPr>
        <w:t>Requirements</w:t>
      </w:r>
      <w:bookmarkEnd w:id="2"/>
    </w:p>
    <w:p w:rsidR="004555C5" w:rsidRPr="006F29C0" w:rsidRDefault="004555C5" w:rsidP="004555C5">
      <w:pPr>
        <w:pStyle w:val="a7"/>
        <w:jc w:val="both"/>
        <w:rPr>
          <w:rFonts w:ascii="Times New Roman" w:hAnsi="Times New Roman" w:cs="Times New Roman"/>
        </w:rPr>
      </w:pPr>
    </w:p>
    <w:p w:rsidR="00E74FF5" w:rsidRPr="006F29C0" w:rsidRDefault="00BB5F63" w:rsidP="00E74FF5">
      <w:pPr>
        <w:pStyle w:val="a7"/>
        <w:numPr>
          <w:ilvl w:val="0"/>
          <w:numId w:val="15"/>
        </w:numPr>
        <w:jc w:val="both"/>
        <w:rPr>
          <w:rFonts w:ascii="Times New Roman" w:hAnsi="Times New Roman" w:cs="Times New Roman"/>
        </w:rPr>
      </w:pPr>
      <w:r>
        <w:rPr>
          <w:rFonts w:ascii="Times New Roman" w:hAnsi="Times New Roman"/>
        </w:rPr>
        <w:t>The Keeper</w:t>
      </w:r>
      <w:r w:rsidR="00E74FF5" w:rsidRPr="006F29C0">
        <w:rPr>
          <w:rFonts w:ascii="Times New Roman" w:hAnsi="Times New Roman"/>
        </w:rPr>
        <w:t xml:space="preserve"> shall have at least 6-year experience of providing office equipment storage and transportation services, and also agreements for transportation of at least 300 workstations</w:t>
      </w:r>
    </w:p>
    <w:p w:rsidR="00150E26" w:rsidRPr="006F29C0" w:rsidRDefault="00BB5F63" w:rsidP="00E74FF5">
      <w:pPr>
        <w:pStyle w:val="a7"/>
        <w:numPr>
          <w:ilvl w:val="0"/>
          <w:numId w:val="15"/>
        </w:numPr>
        <w:jc w:val="both"/>
        <w:rPr>
          <w:rFonts w:ascii="Times New Roman" w:hAnsi="Times New Roman" w:cs="Times New Roman"/>
        </w:rPr>
      </w:pPr>
      <w:r>
        <w:rPr>
          <w:rFonts w:ascii="Times New Roman" w:hAnsi="Times New Roman"/>
        </w:rPr>
        <w:t>The Keeper</w:t>
      </w:r>
      <w:r w:rsidR="00150E26" w:rsidRPr="006F29C0">
        <w:rPr>
          <w:rFonts w:ascii="Times New Roman" w:hAnsi="Times New Roman"/>
        </w:rPr>
        <w:t xml:space="preserve"> shall comply with appropriate terms and conditions of CPC property </w:t>
      </w:r>
      <w:proofErr w:type="gramStart"/>
      <w:r w:rsidR="00150E26" w:rsidRPr="006F29C0">
        <w:rPr>
          <w:rFonts w:ascii="Times New Roman" w:hAnsi="Times New Roman"/>
        </w:rPr>
        <w:t>storage,</w:t>
      </w:r>
      <w:proofErr w:type="gramEnd"/>
      <w:r w:rsidR="00150E26" w:rsidRPr="006F29C0">
        <w:rPr>
          <w:rFonts w:ascii="Times New Roman" w:hAnsi="Times New Roman"/>
        </w:rPr>
        <w:t xml:space="preserve"> arrange for safekeeping and integrity thereof as well as prevent the property from depreciation and deterioration of useful properties.</w:t>
      </w:r>
    </w:p>
    <w:p w:rsidR="00150E26" w:rsidRPr="006F29C0" w:rsidRDefault="00BB5F63" w:rsidP="00520F2F">
      <w:pPr>
        <w:pStyle w:val="a7"/>
        <w:numPr>
          <w:ilvl w:val="0"/>
          <w:numId w:val="15"/>
        </w:numPr>
        <w:jc w:val="both"/>
        <w:rPr>
          <w:rFonts w:ascii="Times New Roman" w:hAnsi="Times New Roman" w:cs="Times New Roman"/>
        </w:rPr>
      </w:pPr>
      <w:r>
        <w:rPr>
          <w:rFonts w:ascii="Times New Roman" w:hAnsi="Times New Roman"/>
        </w:rPr>
        <w:t>The Keeper</w:t>
      </w:r>
      <w:r w:rsidR="00150E26" w:rsidRPr="006F29C0">
        <w:rPr>
          <w:rFonts w:ascii="Times New Roman" w:hAnsi="Times New Roman"/>
        </w:rPr>
        <w:t xml:space="preserve"> shall keep the storage venue in serviceable condition, maintain temperature and humidity level inside it conforming to the storage conditions of the transferred property, follow the sanitary and epidemiological standards, fire safety and industrial regulations, and immediately notify CPC of any event (damage, accident. etc.) that has caused or may cause detriment to the CPC property.</w:t>
      </w:r>
    </w:p>
    <w:p w:rsidR="00DD3233" w:rsidRPr="006F29C0" w:rsidRDefault="00DD3233" w:rsidP="00520F2F">
      <w:pPr>
        <w:pStyle w:val="a7"/>
        <w:numPr>
          <w:ilvl w:val="0"/>
          <w:numId w:val="15"/>
        </w:numPr>
        <w:jc w:val="both"/>
        <w:rPr>
          <w:rFonts w:ascii="Times New Roman" w:hAnsi="Times New Roman" w:cs="Times New Roman"/>
        </w:rPr>
      </w:pPr>
      <w:r w:rsidRPr="006F29C0">
        <w:rPr>
          <w:rFonts w:ascii="Times New Roman" w:hAnsi="Times New Roman"/>
        </w:rPr>
        <w:t>The storage venue as well as access roads thereto shall be duly lighted and guarded.</w:t>
      </w:r>
    </w:p>
    <w:p w:rsidR="004C64E0" w:rsidRPr="006F29C0" w:rsidRDefault="004C64E0" w:rsidP="00520F2F">
      <w:pPr>
        <w:pStyle w:val="a7"/>
        <w:numPr>
          <w:ilvl w:val="0"/>
          <w:numId w:val="15"/>
        </w:numPr>
        <w:jc w:val="both"/>
        <w:rPr>
          <w:rFonts w:ascii="Times New Roman" w:hAnsi="Times New Roman" w:cs="Times New Roman"/>
        </w:rPr>
      </w:pPr>
      <w:r w:rsidRPr="006F29C0">
        <w:rPr>
          <w:rFonts w:ascii="Times New Roman" w:hAnsi="Times New Roman"/>
        </w:rPr>
        <w:t xml:space="preserve">The storage venue shall be </w:t>
      </w:r>
      <w:proofErr w:type="gramStart"/>
      <w:r w:rsidRPr="006F29C0">
        <w:rPr>
          <w:rFonts w:ascii="Times New Roman" w:hAnsi="Times New Roman"/>
        </w:rPr>
        <w:t>an</w:t>
      </w:r>
      <w:proofErr w:type="gramEnd"/>
      <w:r w:rsidRPr="006F29C0">
        <w:rPr>
          <w:rFonts w:ascii="Times New Roman" w:hAnsi="Times New Roman"/>
        </w:rPr>
        <w:t xml:space="preserve"> А warehouse complex </w:t>
      </w:r>
      <w:r w:rsidR="005A0F02" w:rsidRPr="006F29C0">
        <w:rPr>
          <w:rFonts w:ascii="Times New Roman" w:hAnsi="Times New Roman"/>
        </w:rPr>
        <w:t xml:space="preserve">or better </w:t>
      </w:r>
      <w:r w:rsidRPr="006F29C0">
        <w:rPr>
          <w:rFonts w:ascii="Times New Roman" w:hAnsi="Times New Roman"/>
        </w:rPr>
        <w:t>(no more than 15 km off the Moscow Ring Road). The warehouse area shall be no less than 3,000 m2.</w:t>
      </w:r>
    </w:p>
    <w:p w:rsidR="004C64E0" w:rsidRPr="006F29C0" w:rsidRDefault="004C64E0" w:rsidP="00520F2F">
      <w:pPr>
        <w:pStyle w:val="a7"/>
        <w:numPr>
          <w:ilvl w:val="0"/>
          <w:numId w:val="15"/>
        </w:numPr>
        <w:jc w:val="both"/>
        <w:rPr>
          <w:rFonts w:ascii="Times New Roman" w:hAnsi="Times New Roman" w:cs="Times New Roman"/>
        </w:rPr>
      </w:pPr>
      <w:r w:rsidRPr="006F29C0">
        <w:rPr>
          <w:rFonts w:ascii="Times New Roman" w:hAnsi="Times New Roman"/>
        </w:rPr>
        <w:t xml:space="preserve">The storage venue shall be equipped with storage rack / pallet systems. </w:t>
      </w:r>
    </w:p>
    <w:p w:rsidR="00E01941" w:rsidRPr="006F29C0" w:rsidRDefault="00BB5F63" w:rsidP="00E01941">
      <w:pPr>
        <w:pStyle w:val="a7"/>
        <w:numPr>
          <w:ilvl w:val="0"/>
          <w:numId w:val="15"/>
        </w:numPr>
        <w:jc w:val="both"/>
        <w:rPr>
          <w:rFonts w:ascii="Times New Roman" w:hAnsi="Times New Roman" w:cs="Times New Roman"/>
        </w:rPr>
      </w:pPr>
      <w:r>
        <w:rPr>
          <w:rFonts w:ascii="Times New Roman" w:hAnsi="Times New Roman"/>
        </w:rPr>
        <w:t>The Keeper</w:t>
      </w:r>
      <w:r w:rsidR="00E01941" w:rsidRPr="006F29C0">
        <w:rPr>
          <w:rFonts w:ascii="Times New Roman" w:hAnsi="Times New Roman"/>
        </w:rPr>
        <w:t xml:space="preserve"> shall arrange for unrestricted access of authorized representatives of CPC to the property (through </w:t>
      </w:r>
      <w:r>
        <w:rPr>
          <w:rFonts w:ascii="Times New Roman" w:hAnsi="Times New Roman"/>
        </w:rPr>
        <w:t>The Keeper</w:t>
      </w:r>
      <w:r w:rsidR="00E01941" w:rsidRPr="006F29C0">
        <w:rPr>
          <w:rFonts w:ascii="Times New Roman" w:hAnsi="Times New Roman"/>
        </w:rPr>
        <w:t xml:space="preserve">’s territory, among others) within the agreement’s validity period: 09.00 to 18.00 weekdays, weekends - by mutual agreement. </w:t>
      </w:r>
    </w:p>
    <w:p w:rsidR="00150E26" w:rsidRPr="006F29C0" w:rsidRDefault="00BB5F63" w:rsidP="00520F2F">
      <w:pPr>
        <w:pStyle w:val="a7"/>
        <w:numPr>
          <w:ilvl w:val="0"/>
          <w:numId w:val="15"/>
        </w:numPr>
        <w:jc w:val="both"/>
        <w:rPr>
          <w:rFonts w:ascii="Times New Roman" w:hAnsi="Times New Roman" w:cs="Times New Roman"/>
        </w:rPr>
      </w:pPr>
      <w:r>
        <w:rPr>
          <w:rFonts w:ascii="Times New Roman" w:hAnsi="Times New Roman"/>
        </w:rPr>
        <w:t>The Keeper</w:t>
      </w:r>
      <w:r w:rsidR="00150E26" w:rsidRPr="006F29C0">
        <w:rPr>
          <w:rFonts w:ascii="Times New Roman" w:hAnsi="Times New Roman"/>
        </w:rPr>
        <w:t xml:space="preserve"> shall keep records of all changes in the stored property volumes within the validity period of the agreement.</w:t>
      </w:r>
    </w:p>
    <w:p w:rsidR="00150E26" w:rsidRPr="006F29C0" w:rsidRDefault="00BB5F63" w:rsidP="00520F2F">
      <w:pPr>
        <w:pStyle w:val="a7"/>
        <w:numPr>
          <w:ilvl w:val="0"/>
          <w:numId w:val="15"/>
        </w:numPr>
        <w:jc w:val="both"/>
        <w:rPr>
          <w:rFonts w:ascii="Times New Roman" w:hAnsi="Times New Roman" w:cs="Times New Roman"/>
        </w:rPr>
      </w:pPr>
      <w:r>
        <w:rPr>
          <w:rFonts w:ascii="Times New Roman" w:hAnsi="Times New Roman"/>
        </w:rPr>
        <w:t>The Keeper</w:t>
      </w:r>
      <w:r w:rsidR="00150E26" w:rsidRPr="006F29C0">
        <w:rPr>
          <w:rFonts w:ascii="Times New Roman" w:hAnsi="Times New Roman"/>
        </w:rPr>
        <w:t xml:space="preserve"> shall hand over the property (nominated quantity of the property) delivered for storage to the authorized person of CPC immediately upon request. </w:t>
      </w:r>
    </w:p>
    <w:p w:rsidR="00E74FF5" w:rsidRPr="006F29C0" w:rsidRDefault="00BB5F63" w:rsidP="00520F2F">
      <w:pPr>
        <w:pStyle w:val="a7"/>
        <w:numPr>
          <w:ilvl w:val="0"/>
          <w:numId w:val="15"/>
        </w:numPr>
        <w:jc w:val="both"/>
        <w:rPr>
          <w:rFonts w:ascii="Times New Roman" w:hAnsi="Times New Roman" w:cs="Times New Roman"/>
        </w:rPr>
      </w:pPr>
      <w:r>
        <w:rPr>
          <w:rFonts w:ascii="Times New Roman" w:hAnsi="Times New Roman"/>
        </w:rPr>
        <w:t>The Keeper</w:t>
      </w:r>
      <w:r w:rsidR="00E74FF5" w:rsidRPr="006F29C0">
        <w:rPr>
          <w:rFonts w:ascii="Times New Roman" w:hAnsi="Times New Roman"/>
        </w:rPr>
        <w:t xml:space="preserve"> shall have and use a real-time warehouse management system.</w:t>
      </w:r>
    </w:p>
    <w:p w:rsidR="00220F16" w:rsidRPr="006F29C0" w:rsidRDefault="00BB5F63" w:rsidP="00DD3233">
      <w:pPr>
        <w:pStyle w:val="a7"/>
        <w:numPr>
          <w:ilvl w:val="0"/>
          <w:numId w:val="15"/>
        </w:numPr>
        <w:jc w:val="both"/>
        <w:rPr>
          <w:rFonts w:ascii="Times New Roman" w:hAnsi="Times New Roman" w:cs="Times New Roman"/>
        </w:rPr>
      </w:pPr>
      <w:r>
        <w:rPr>
          <w:rFonts w:ascii="Times New Roman" w:hAnsi="Times New Roman"/>
        </w:rPr>
        <w:t>The Keeper</w:t>
      </w:r>
      <w:r w:rsidR="00DD3233" w:rsidRPr="006F29C0">
        <w:rPr>
          <w:rFonts w:ascii="Times New Roman" w:hAnsi="Times New Roman"/>
        </w:rPr>
        <w:t xml:space="preserve"> shall have all capabilities and resources required to provide office equipment transportation services, namely: </w:t>
      </w:r>
    </w:p>
    <w:p w:rsidR="00220F16" w:rsidRPr="006F29C0" w:rsidRDefault="00220F16" w:rsidP="00220F16">
      <w:pPr>
        <w:pStyle w:val="a7"/>
        <w:numPr>
          <w:ilvl w:val="0"/>
          <w:numId w:val="15"/>
        </w:numPr>
        <w:jc w:val="both"/>
        <w:rPr>
          <w:rFonts w:ascii="Times New Roman" w:hAnsi="Times New Roman" w:cs="Times New Roman"/>
        </w:rPr>
      </w:pPr>
      <w:r w:rsidRPr="006F29C0">
        <w:rPr>
          <w:rFonts w:ascii="Times New Roman" w:hAnsi="Times New Roman"/>
        </w:rPr>
        <w:tab/>
        <w:t xml:space="preserve">vehicles or a long-term agreement for transportation services using an all-metal body vehicles; </w:t>
      </w:r>
    </w:p>
    <w:p w:rsidR="00FF38A5" w:rsidRPr="006F29C0" w:rsidRDefault="00220F16" w:rsidP="00220F16">
      <w:pPr>
        <w:pStyle w:val="a7"/>
        <w:numPr>
          <w:ilvl w:val="0"/>
          <w:numId w:val="15"/>
        </w:numPr>
        <w:jc w:val="both"/>
        <w:rPr>
          <w:rFonts w:ascii="Times New Roman" w:hAnsi="Times New Roman" w:cs="Times New Roman"/>
        </w:rPr>
      </w:pPr>
      <w:r w:rsidRPr="006F29C0">
        <w:rPr>
          <w:rFonts w:ascii="Times New Roman" w:hAnsi="Times New Roman"/>
        </w:rPr>
        <w:lastRenderedPageBreak/>
        <w:tab/>
      </w:r>
      <w:proofErr w:type="gramStart"/>
      <w:r w:rsidRPr="006F29C0">
        <w:rPr>
          <w:rFonts w:ascii="Times New Roman" w:hAnsi="Times New Roman"/>
        </w:rPr>
        <w:t>direct-hire</w:t>
      </w:r>
      <w:proofErr w:type="gramEnd"/>
      <w:r w:rsidRPr="006F29C0">
        <w:rPr>
          <w:rFonts w:ascii="Times New Roman" w:hAnsi="Times New Roman"/>
        </w:rPr>
        <w:t xml:space="preserve"> tr</w:t>
      </w:r>
      <w:r w:rsidR="00E16B7E" w:rsidRPr="006F29C0">
        <w:rPr>
          <w:rFonts w:ascii="Times New Roman" w:hAnsi="Times New Roman"/>
        </w:rPr>
        <w:t>ained personnel - no less than 2</w:t>
      </w:r>
      <w:r w:rsidRPr="006F29C0">
        <w:rPr>
          <w:rFonts w:ascii="Times New Roman" w:hAnsi="Times New Roman"/>
        </w:rPr>
        <w:t xml:space="preserve">0 persons holding a “Loader” or similar position confirmed by the manning table. </w:t>
      </w:r>
    </w:p>
    <w:p w:rsidR="00220F16" w:rsidRPr="006F29C0" w:rsidRDefault="00220F16" w:rsidP="00220F16">
      <w:pPr>
        <w:pStyle w:val="a7"/>
        <w:numPr>
          <w:ilvl w:val="0"/>
          <w:numId w:val="15"/>
        </w:numPr>
        <w:jc w:val="both"/>
        <w:rPr>
          <w:rFonts w:ascii="Times New Roman" w:hAnsi="Times New Roman" w:cs="Times New Roman"/>
        </w:rPr>
      </w:pPr>
      <w:r w:rsidRPr="006F29C0">
        <w:rPr>
          <w:rFonts w:ascii="Times New Roman" w:hAnsi="Times New Roman"/>
        </w:rPr>
        <w:t>Loaders should wear corporate uniform</w:t>
      </w:r>
    </w:p>
    <w:p w:rsidR="00330D03" w:rsidRPr="006F29C0" w:rsidRDefault="00BB5F63" w:rsidP="00DD3233">
      <w:pPr>
        <w:pStyle w:val="a7"/>
        <w:numPr>
          <w:ilvl w:val="0"/>
          <w:numId w:val="15"/>
        </w:numPr>
        <w:jc w:val="both"/>
        <w:rPr>
          <w:rFonts w:ascii="Times New Roman" w:hAnsi="Times New Roman" w:cs="Times New Roman"/>
        </w:rPr>
      </w:pPr>
      <w:r>
        <w:rPr>
          <w:rFonts w:ascii="Times New Roman" w:hAnsi="Times New Roman"/>
        </w:rPr>
        <w:t>The Keeper</w:t>
      </w:r>
      <w:r w:rsidR="00330D03" w:rsidRPr="006F29C0">
        <w:rPr>
          <w:rFonts w:ascii="Times New Roman" w:hAnsi="Times New Roman"/>
        </w:rPr>
        <w:t xml:space="preserve"> shall provide the disposal services as regards written off furniture of CPC</w:t>
      </w:r>
    </w:p>
    <w:p w:rsidR="00DD3233" w:rsidRPr="006F29C0" w:rsidRDefault="00DD3233" w:rsidP="00DD3233">
      <w:pPr>
        <w:pStyle w:val="a7"/>
        <w:numPr>
          <w:ilvl w:val="0"/>
          <w:numId w:val="15"/>
        </w:numPr>
        <w:jc w:val="both"/>
        <w:rPr>
          <w:rFonts w:ascii="Times New Roman" w:hAnsi="Times New Roman" w:cs="Times New Roman"/>
        </w:rPr>
      </w:pPr>
      <w:r w:rsidRPr="006F29C0">
        <w:rPr>
          <w:rFonts w:ascii="Times New Roman" w:hAnsi="Times New Roman"/>
        </w:rPr>
        <w:t xml:space="preserve">In the course of property transportation </w:t>
      </w:r>
      <w:r w:rsidR="00BB5F63">
        <w:rPr>
          <w:rFonts w:ascii="Times New Roman" w:hAnsi="Times New Roman"/>
        </w:rPr>
        <w:t>The Keeper</w:t>
      </w:r>
      <w:r w:rsidRPr="006F29C0">
        <w:rPr>
          <w:rFonts w:ascii="Times New Roman" w:hAnsi="Times New Roman"/>
        </w:rPr>
        <w:t xml:space="preserve"> shall arrange for the following:  </w:t>
      </w:r>
    </w:p>
    <w:p w:rsidR="00DD3233" w:rsidRPr="006F29C0" w:rsidRDefault="00DD3233" w:rsidP="00DD3233">
      <w:pPr>
        <w:pStyle w:val="a7"/>
        <w:numPr>
          <w:ilvl w:val="0"/>
          <w:numId w:val="23"/>
        </w:numPr>
        <w:ind w:firstLine="360"/>
        <w:jc w:val="both"/>
        <w:rPr>
          <w:rFonts w:ascii="Times New Roman" w:hAnsi="Times New Roman" w:cs="Times New Roman"/>
        </w:rPr>
      </w:pPr>
      <w:r w:rsidRPr="006F29C0">
        <w:rPr>
          <w:rFonts w:ascii="Times New Roman" w:hAnsi="Times New Roman"/>
        </w:rPr>
        <w:t>special packaging for fragile items and equipment</w:t>
      </w:r>
    </w:p>
    <w:p w:rsidR="00DD3233" w:rsidRPr="006F29C0" w:rsidRDefault="00DD3233" w:rsidP="00DD3233">
      <w:pPr>
        <w:pStyle w:val="a7"/>
        <w:numPr>
          <w:ilvl w:val="0"/>
          <w:numId w:val="23"/>
        </w:numPr>
        <w:ind w:firstLine="360"/>
        <w:jc w:val="both"/>
        <w:rPr>
          <w:rFonts w:ascii="Times New Roman" w:hAnsi="Times New Roman" w:cs="Times New Roman"/>
        </w:rPr>
      </w:pPr>
      <w:r w:rsidRPr="006F29C0">
        <w:rPr>
          <w:rFonts w:ascii="Times New Roman" w:hAnsi="Times New Roman"/>
        </w:rPr>
        <w:t>special packaging for IT equipment</w:t>
      </w:r>
    </w:p>
    <w:p w:rsidR="00DD3233" w:rsidRPr="006F29C0" w:rsidRDefault="00DD3233" w:rsidP="00DD3233">
      <w:pPr>
        <w:pStyle w:val="a7"/>
        <w:numPr>
          <w:ilvl w:val="0"/>
          <w:numId w:val="23"/>
        </w:numPr>
        <w:ind w:firstLine="360"/>
        <w:jc w:val="both"/>
        <w:rPr>
          <w:rFonts w:ascii="Times New Roman" w:hAnsi="Times New Roman" w:cs="Times New Roman"/>
        </w:rPr>
      </w:pPr>
      <w:r w:rsidRPr="006F29C0">
        <w:rPr>
          <w:rFonts w:ascii="Times New Roman" w:hAnsi="Times New Roman"/>
        </w:rPr>
        <w:t xml:space="preserve">property loading, unloading and transportation    </w:t>
      </w:r>
    </w:p>
    <w:p w:rsidR="00DD3233" w:rsidRPr="006F29C0" w:rsidRDefault="00BB5F63" w:rsidP="00F67D2E">
      <w:pPr>
        <w:pStyle w:val="a7"/>
        <w:numPr>
          <w:ilvl w:val="0"/>
          <w:numId w:val="15"/>
        </w:numPr>
        <w:jc w:val="both"/>
        <w:rPr>
          <w:rFonts w:ascii="Times New Roman" w:hAnsi="Times New Roman" w:cs="Times New Roman"/>
        </w:rPr>
      </w:pPr>
      <w:r>
        <w:rPr>
          <w:rFonts w:ascii="Times New Roman" w:hAnsi="Times New Roman"/>
        </w:rPr>
        <w:t>The Keeper</w:t>
      </w:r>
      <w:r w:rsidR="00150E26" w:rsidRPr="006F29C0">
        <w:rPr>
          <w:rFonts w:ascii="Times New Roman" w:hAnsi="Times New Roman"/>
        </w:rPr>
        <w:t xml:space="preserve"> shall comply with</w:t>
      </w:r>
      <w:bookmarkStart w:id="3" w:name="_GoBack"/>
      <w:bookmarkEnd w:id="3"/>
      <w:r w:rsidR="00150E26" w:rsidRPr="006F29C0">
        <w:rPr>
          <w:rFonts w:ascii="Times New Roman" w:hAnsi="Times New Roman"/>
        </w:rPr>
        <w:t xml:space="preserve"> the CPC HSE policies.</w:t>
      </w:r>
    </w:p>
    <w:p w:rsidR="00E74FF5" w:rsidRPr="006F29C0" w:rsidRDefault="00BB5F63" w:rsidP="00E74FF5">
      <w:pPr>
        <w:pStyle w:val="a7"/>
        <w:numPr>
          <w:ilvl w:val="0"/>
          <w:numId w:val="15"/>
        </w:numPr>
        <w:jc w:val="both"/>
        <w:rPr>
          <w:rFonts w:ascii="Times New Roman" w:hAnsi="Times New Roman" w:cs="Times New Roman"/>
        </w:rPr>
      </w:pPr>
      <w:r>
        <w:rPr>
          <w:rFonts w:ascii="Times New Roman" w:hAnsi="Times New Roman"/>
        </w:rPr>
        <w:t>The Keeper</w:t>
      </w:r>
      <w:r w:rsidR="00E74FF5" w:rsidRPr="006F29C0">
        <w:rPr>
          <w:rFonts w:ascii="Times New Roman" w:hAnsi="Times New Roman"/>
        </w:rPr>
        <w:t xml:space="preserve"> shall have a civil liability public indemnity policy of at least RUR 15,000,000 per each insured event, or a civil liability public indemnity policy of at least RUR 5,000,000 per each insured event and confirmation of an increase in the amount up to RUR 15,000,000 if the agreement </w:t>
      </w:r>
      <w:proofErr w:type="gramStart"/>
      <w:r w:rsidR="00E74FF5" w:rsidRPr="006F29C0">
        <w:rPr>
          <w:rFonts w:ascii="Times New Roman" w:hAnsi="Times New Roman"/>
        </w:rPr>
        <w:t>is made</w:t>
      </w:r>
      <w:proofErr w:type="gramEnd"/>
      <w:r w:rsidR="00E74FF5" w:rsidRPr="006F29C0">
        <w:rPr>
          <w:rFonts w:ascii="Times New Roman" w:hAnsi="Times New Roman"/>
        </w:rPr>
        <w:t>.</w:t>
      </w:r>
    </w:p>
    <w:p w:rsidR="00FB31E2" w:rsidRPr="006F29C0" w:rsidRDefault="00FB31E2" w:rsidP="00F67D2E">
      <w:pPr>
        <w:pStyle w:val="a7"/>
        <w:numPr>
          <w:ilvl w:val="0"/>
          <w:numId w:val="15"/>
        </w:numPr>
        <w:jc w:val="both"/>
        <w:rPr>
          <w:rFonts w:ascii="Times New Roman" w:hAnsi="Times New Roman" w:cs="Times New Roman"/>
        </w:rPr>
      </w:pPr>
      <w:r w:rsidRPr="006F29C0">
        <w:rPr>
          <w:rFonts w:ascii="Times New Roman" w:hAnsi="Times New Roman"/>
        </w:rPr>
        <w:t xml:space="preserve">At CPC’s request </w:t>
      </w:r>
      <w:r w:rsidR="00BB5F63">
        <w:rPr>
          <w:rFonts w:ascii="Times New Roman" w:hAnsi="Times New Roman"/>
        </w:rPr>
        <w:t>The Keeper</w:t>
      </w:r>
      <w:r w:rsidRPr="006F29C0">
        <w:rPr>
          <w:rFonts w:ascii="Times New Roman" w:hAnsi="Times New Roman"/>
        </w:rPr>
        <w:t xml:space="preserve"> shall maintain an additional insurance of the CPC’s property taken for storage or being transported</w:t>
      </w:r>
    </w:p>
    <w:p w:rsidR="005F0124" w:rsidRPr="006F29C0" w:rsidRDefault="005F0124" w:rsidP="004C64E0">
      <w:pPr>
        <w:pStyle w:val="a7"/>
        <w:jc w:val="both"/>
        <w:rPr>
          <w:rFonts w:ascii="Times New Roman" w:hAnsi="Times New Roman" w:cs="Times New Roman"/>
        </w:rPr>
      </w:pPr>
    </w:p>
    <w:p w:rsidR="0043493A" w:rsidRPr="006F29C0" w:rsidRDefault="0043493A" w:rsidP="005B3C4E">
      <w:pPr>
        <w:pStyle w:val="Heading112"/>
        <w:rPr>
          <w:sz w:val="22"/>
          <w:szCs w:val="22"/>
        </w:rPr>
      </w:pPr>
      <w:bookmarkStart w:id="4" w:name="_Toc478747130"/>
      <w:r w:rsidRPr="006F29C0">
        <w:rPr>
          <w:sz w:val="22"/>
          <w:szCs w:val="22"/>
        </w:rPr>
        <w:t>Attachments:</w:t>
      </w:r>
      <w:bookmarkEnd w:id="4"/>
    </w:p>
    <w:p w:rsidR="008403DC" w:rsidRPr="006F29C0" w:rsidRDefault="008403DC" w:rsidP="008403DC">
      <w:pPr>
        <w:pStyle w:val="Heading112"/>
        <w:numPr>
          <w:ilvl w:val="0"/>
          <w:numId w:val="0"/>
        </w:numPr>
        <w:ind w:left="1080"/>
        <w:jc w:val="left"/>
        <w:rPr>
          <w:sz w:val="22"/>
          <w:szCs w:val="22"/>
        </w:rPr>
      </w:pPr>
    </w:p>
    <w:p w:rsidR="00F67D2E" w:rsidRPr="006F29C0" w:rsidRDefault="00F43CA2" w:rsidP="008403DC">
      <w:pPr>
        <w:rPr>
          <w:rFonts w:ascii="Times New Roman" w:hAnsi="Times New Roman" w:cs="Times New Roman"/>
          <w:i/>
        </w:rPr>
      </w:pPr>
      <w:r w:rsidRPr="006F29C0">
        <w:rPr>
          <w:rFonts w:ascii="Times New Roman" w:hAnsi="Times New Roman"/>
          <w:i/>
        </w:rPr>
        <w:t>Exhibit 1 Indicative list of office equipment delivered for storage.</w:t>
      </w:r>
    </w:p>
    <w:tbl>
      <w:tblPr>
        <w:tblW w:w="0" w:type="auto"/>
        <w:tblLook w:val="04A0" w:firstRow="1" w:lastRow="0" w:firstColumn="1" w:lastColumn="0" w:noHBand="0" w:noVBand="1"/>
      </w:tblPr>
      <w:tblGrid>
        <w:gridCol w:w="5448"/>
        <w:gridCol w:w="5325"/>
      </w:tblGrid>
      <w:tr w:rsidR="00F67D2E" w:rsidRPr="006F29C0" w:rsidTr="00F67D2E">
        <w:tc>
          <w:tcPr>
            <w:tcW w:w="5518" w:type="dxa"/>
          </w:tcPr>
          <w:p w:rsidR="00F67D2E" w:rsidRPr="006F29C0" w:rsidRDefault="00F67D2E" w:rsidP="004555C5">
            <w:pPr>
              <w:pStyle w:val="a7"/>
              <w:rPr>
                <w:rFonts w:ascii="Times New Roman" w:hAnsi="Times New Roman" w:cs="Times New Roman"/>
                <w:b/>
              </w:rPr>
            </w:pP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Tables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Chairs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Rolling file cabinets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Cabinets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Desk chairs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 xml:space="preserve">Wing chairs for visitors </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Safe boxes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Documentary archives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Computers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Visual Display Units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Boxes with belongings and documents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Archive boxes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Server equipment (racks)</w:t>
            </w:r>
          </w:p>
          <w:p w:rsidR="004555C5" w:rsidRPr="006F29C0" w:rsidRDefault="004555C5" w:rsidP="004555C5">
            <w:pPr>
              <w:pStyle w:val="a7"/>
              <w:numPr>
                <w:ilvl w:val="1"/>
                <w:numId w:val="24"/>
              </w:numPr>
              <w:rPr>
                <w:rFonts w:ascii="Times New Roman" w:hAnsi="Times New Roman" w:cs="Times New Roman"/>
              </w:rPr>
            </w:pPr>
            <w:r w:rsidRPr="006F29C0">
              <w:rPr>
                <w:rFonts w:ascii="Times New Roman" w:hAnsi="Times New Roman"/>
              </w:rPr>
              <w:t>MFD</w:t>
            </w:r>
          </w:p>
          <w:p w:rsidR="004555C5" w:rsidRPr="006F29C0" w:rsidRDefault="004555C5" w:rsidP="004555C5">
            <w:pPr>
              <w:pStyle w:val="a7"/>
              <w:numPr>
                <w:ilvl w:val="1"/>
                <w:numId w:val="24"/>
              </w:numPr>
              <w:rPr>
                <w:rFonts w:ascii="Times New Roman" w:hAnsi="Times New Roman" w:cs="Times New Roman"/>
                <w:b/>
              </w:rPr>
            </w:pPr>
            <w:r w:rsidRPr="006F29C0">
              <w:rPr>
                <w:rFonts w:ascii="Times New Roman" w:hAnsi="Times New Roman"/>
              </w:rPr>
              <w:t>Printers</w:t>
            </w:r>
          </w:p>
          <w:p w:rsidR="004555C5" w:rsidRPr="006F29C0" w:rsidRDefault="004555C5" w:rsidP="004555C5">
            <w:pPr>
              <w:pStyle w:val="a7"/>
              <w:numPr>
                <w:ilvl w:val="1"/>
                <w:numId w:val="24"/>
              </w:numPr>
              <w:rPr>
                <w:rFonts w:ascii="Times New Roman" w:hAnsi="Times New Roman" w:cs="Times New Roman"/>
                <w:b/>
              </w:rPr>
            </w:pPr>
            <w:r w:rsidRPr="006F29C0">
              <w:rPr>
                <w:rFonts w:ascii="Times New Roman" w:hAnsi="Times New Roman"/>
              </w:rPr>
              <w:t>Electronic equipment</w:t>
            </w:r>
          </w:p>
          <w:p w:rsidR="008B3B94" w:rsidRPr="006F29C0" w:rsidRDefault="008B3B94" w:rsidP="004555C5">
            <w:pPr>
              <w:pStyle w:val="a7"/>
              <w:numPr>
                <w:ilvl w:val="1"/>
                <w:numId w:val="24"/>
              </w:numPr>
              <w:rPr>
                <w:rFonts w:ascii="Times New Roman" w:hAnsi="Times New Roman" w:cs="Times New Roman"/>
                <w:b/>
              </w:rPr>
            </w:pPr>
            <w:r w:rsidRPr="006F29C0">
              <w:rPr>
                <w:rFonts w:ascii="Times New Roman" w:hAnsi="Times New Roman"/>
              </w:rPr>
              <w:t>Documentation in boxes</w:t>
            </w:r>
          </w:p>
          <w:p w:rsidR="004555C5" w:rsidRPr="006F29C0" w:rsidRDefault="004555C5" w:rsidP="008403DC">
            <w:pPr>
              <w:pStyle w:val="a7"/>
              <w:ind w:left="1440"/>
              <w:rPr>
                <w:rFonts w:ascii="Times New Roman" w:hAnsi="Times New Roman" w:cs="Times New Roman"/>
                <w:b/>
              </w:rPr>
            </w:pPr>
          </w:p>
        </w:tc>
        <w:tc>
          <w:tcPr>
            <w:tcW w:w="5471" w:type="dxa"/>
          </w:tcPr>
          <w:p w:rsidR="00F67D2E" w:rsidRPr="006F29C0" w:rsidRDefault="00F67D2E">
            <w:pPr>
              <w:pStyle w:val="a7"/>
              <w:ind w:left="0"/>
              <w:rPr>
                <w:rFonts w:ascii="Times New Roman" w:hAnsi="Times New Roman" w:cs="Times New Roman"/>
                <w:b/>
              </w:rPr>
            </w:pPr>
          </w:p>
        </w:tc>
      </w:tr>
    </w:tbl>
    <w:p w:rsidR="0043493A" w:rsidRPr="006F29C0" w:rsidRDefault="0043493A" w:rsidP="00106E44">
      <w:pPr>
        <w:jc w:val="both"/>
        <w:rPr>
          <w:rFonts w:ascii="Times New Roman" w:hAnsi="Times New Roman" w:cs="Times New Roman"/>
        </w:rPr>
      </w:pPr>
    </w:p>
    <w:sectPr w:rsidR="0043493A" w:rsidRPr="006F29C0" w:rsidSect="006F29C0">
      <w:footerReference w:type="default" r:id="rId10"/>
      <w:pgSz w:w="11906" w:h="16838" w:code="9"/>
      <w:pgMar w:top="851" w:right="566" w:bottom="709" w:left="567" w:header="0"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20" w:rsidRDefault="005B5D20" w:rsidP="00171B34">
      <w:pPr>
        <w:spacing w:after="0" w:line="240" w:lineRule="auto"/>
      </w:pPr>
      <w:r>
        <w:separator/>
      </w:r>
    </w:p>
  </w:endnote>
  <w:endnote w:type="continuationSeparator" w:id="0">
    <w:p w:rsidR="005B5D20" w:rsidRDefault="005B5D20" w:rsidP="0017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B34" w:rsidRDefault="001D2BDF">
    <w:pPr>
      <w:pStyle w:val="a5"/>
    </w:pPr>
    <w:r>
      <w:rPr>
        <w:noProof/>
        <w:lang w:val="ru-RU" w:eastAsia="ru-RU"/>
      </w:rPr>
      <mc:AlternateContent>
        <mc:Choice Requires="wps">
          <w:drawing>
            <wp:anchor distT="0" distB="0" distL="114300" distR="114300" simplePos="0" relativeHeight="251660288" behindDoc="0" locked="0" layoutInCell="1" allowOverlap="1" wp14:anchorId="75217ABE" wp14:editId="206EC562">
              <wp:simplePos x="0" y="0"/>
              <wp:positionH relativeFrom="column">
                <wp:posOffset>5438775</wp:posOffset>
              </wp:positionH>
              <wp:positionV relativeFrom="paragraph">
                <wp:posOffset>-441960</wp:posOffset>
              </wp:positionV>
              <wp:extent cx="615950" cy="234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93A" w:rsidRPr="0043493A" w:rsidRDefault="0043493A" w:rsidP="0043493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17ABE" id="_x0000_t202" coordsize="21600,21600" o:spt="202" path="m,l,21600r21600,l21600,xe">
              <v:stroke joinstyle="miter"/>
              <v:path gradientshapeok="t" o:connecttype="rect"/>
            </v:shapetype>
            <v:shape id="Text Box 2" o:spid="_x0000_s1026" type="#_x0000_t202" style="position:absolute;margin-left:428.25pt;margin-top:-34.8pt;width:4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SS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ZGCcxWEowRZfErm0Emh4v90qbd0x2yC4y&#10;rKDxDpzu77SZXI8uNpaQBW9bOKdpK54dAOZ0AqHhqrXZJFwvfyRBsl6sF8Qj0WztkSDPvZtiRbxZ&#10;Ec7j/DJfrfLwp40bkrThVcWEDXPUVUj+rG8HhU+KOClLy5ZXFs6mpNV2s2oV2lPQdeG+Q0HO3Pzn&#10;abh6AZcXlMKIBLdR4hWzxdwjBYm9ZB4svCBMbpNZQBKSF88p3XHB/p0SGjKcxFE8aem33AL3veZG&#10;044bmBwt7zK8ODnR1CpwLSrXWkN5O63PSmHTfyoFtPvYaKdXK9FJrGbcjIBiRbyR1SMoV0lQFogQ&#10;xh0sGqm+YzTA6Miw/rajimHUvheg/iQkxM4atyHxPIKNOrdszi1UlACVYYPRtFyZaT7tesW3DUSa&#10;3puQN/Biau7U/JTV4Z3BeHCkDqPMzp/zvfN6GrjLXwAAAP//AwBQSwMEFAAGAAgAAAAhAGIxZALf&#10;AAAACwEAAA8AAABkcnMvZG93bnJldi54bWxMj01PwzAMhu9I/IfISNy2hI1Ga2k6IRBXEOND4pY1&#10;XlvROFWTreXfY07s6NePXj8ut7PvxQnH2AUycLNUIJDq4DpqDLy/PS02IGKy5GwfCA38YIRtdXlR&#10;2sKFiV7xtEuN4BKKhTXQpjQUUsa6RW/jMgxIvDuE0dvE49hIN9qJy30vV0pp6W1HfKG1Az60WH/v&#10;jt7Ax/Ph6/NWvTSPPhumMCtJPpfGXF/N93cgEs7pH4Y/fVaHip324Uguit7AJtMZowYWOtcgmMiz&#10;NSd7TtYrDbIq5fkP1S8AAAD//wMAUEsBAi0AFAAGAAgAAAAhALaDOJL+AAAA4QEAABMAAAAAAAAA&#10;AAAAAAAAAAAAAFtDb250ZW50X1R5cGVzXS54bWxQSwECLQAUAAYACAAAACEAOP0h/9YAAACUAQAA&#10;CwAAAAAAAAAAAAAAAAAvAQAAX3JlbHMvLnJlbHNQSwECLQAUAAYACAAAACEAgCc0krICAAC4BQAA&#10;DgAAAAAAAAAAAAAAAAAuAgAAZHJzL2Uyb0RvYy54bWxQSwECLQAUAAYACAAAACEAYjFkAt8AAAAL&#10;AQAADwAAAAAAAAAAAAAAAAAMBQAAZHJzL2Rvd25yZXYueG1sUEsFBgAAAAAEAAQA8wAAABgGAAAA&#10;AA==&#10;" filled="f" stroked="f">
              <v:textbox>
                <w:txbxContent>
                  <w:p w:rsidR="0043493A" w:rsidRPr="0043493A" w:rsidRDefault="0043493A" w:rsidP="0043493A">
                    <w:pPr>
                      <w:jc w:val="center"/>
                      <w:rPr>
                        <w:rFonts w:ascii="Times New Roman" w:hAnsi="Times New Roman" w:cs="Times New Roman"/>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20" w:rsidRDefault="005B5D20" w:rsidP="00171B34">
      <w:pPr>
        <w:spacing w:after="0" w:line="240" w:lineRule="auto"/>
      </w:pPr>
      <w:r>
        <w:separator/>
      </w:r>
    </w:p>
  </w:footnote>
  <w:footnote w:type="continuationSeparator" w:id="0">
    <w:p w:rsidR="005B5D20" w:rsidRDefault="005B5D20" w:rsidP="0017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72F"/>
    <w:multiLevelType w:val="multilevel"/>
    <w:tmpl w:val="FA60CAF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065A6D85"/>
    <w:multiLevelType w:val="hybridMultilevel"/>
    <w:tmpl w:val="09EAA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34F5D"/>
    <w:multiLevelType w:val="multilevel"/>
    <w:tmpl w:val="142C34B0"/>
    <w:lvl w:ilvl="0">
      <w:start w:val="1"/>
      <w:numFmt w:val="decimal"/>
      <w:pStyle w:val="Heading112"/>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 w15:restartNumberingAfterBreak="0">
    <w:nsid w:val="08542266"/>
    <w:multiLevelType w:val="hybridMultilevel"/>
    <w:tmpl w:val="99DE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153F3"/>
    <w:multiLevelType w:val="hybridMultilevel"/>
    <w:tmpl w:val="8FE8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644EC"/>
    <w:multiLevelType w:val="hybridMultilevel"/>
    <w:tmpl w:val="740A254E"/>
    <w:lvl w:ilvl="0" w:tplc="091CE95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D43D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12F10"/>
    <w:multiLevelType w:val="hybridMultilevel"/>
    <w:tmpl w:val="54083254"/>
    <w:lvl w:ilvl="0" w:tplc="65ECA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BD39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1A57AD"/>
    <w:multiLevelType w:val="hybridMultilevel"/>
    <w:tmpl w:val="AE22C0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7655E4"/>
    <w:multiLevelType w:val="hybridMultilevel"/>
    <w:tmpl w:val="E99CCA38"/>
    <w:lvl w:ilvl="0" w:tplc="62D02114">
      <w:start w:val="1"/>
      <w:numFmt w:val="bullet"/>
      <w:lvlText w:val=""/>
      <w:lvlJc w:val="left"/>
      <w:pPr>
        <w:ind w:left="1068" w:hanging="360"/>
      </w:pPr>
      <w:rPr>
        <w:rFonts w:ascii="Symbol" w:hAnsi="Symbol" w:hint="default"/>
        <w:lang w:val="en-US"/>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15:restartNumberingAfterBreak="0">
    <w:nsid w:val="41CF5C99"/>
    <w:multiLevelType w:val="hybridMultilevel"/>
    <w:tmpl w:val="79029F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6262E"/>
    <w:multiLevelType w:val="hybridMultilevel"/>
    <w:tmpl w:val="E0D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062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DF2845"/>
    <w:multiLevelType w:val="hybridMultilevel"/>
    <w:tmpl w:val="D84C8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AE5ECB"/>
    <w:multiLevelType w:val="hybridMultilevel"/>
    <w:tmpl w:val="8DACA114"/>
    <w:lvl w:ilvl="0" w:tplc="CBF4F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4EA4B10"/>
    <w:multiLevelType w:val="hybridMultilevel"/>
    <w:tmpl w:val="B8CAB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72ED5"/>
    <w:multiLevelType w:val="hybridMultilevel"/>
    <w:tmpl w:val="7040A3E6"/>
    <w:lvl w:ilvl="0" w:tplc="F1C81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A74E6F"/>
    <w:multiLevelType w:val="hybridMultilevel"/>
    <w:tmpl w:val="86CCC60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15:restartNumberingAfterBreak="0">
    <w:nsid w:val="76F90B5F"/>
    <w:multiLevelType w:val="hybridMultilevel"/>
    <w:tmpl w:val="C946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745F4"/>
    <w:multiLevelType w:val="hybridMultilevel"/>
    <w:tmpl w:val="A5622224"/>
    <w:lvl w:ilvl="0" w:tplc="091CE958">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634559"/>
    <w:multiLevelType w:val="hybridMultilevel"/>
    <w:tmpl w:val="50E4B8E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56308F"/>
    <w:multiLevelType w:val="multilevel"/>
    <w:tmpl w:val="1B9804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16"/>
  </w:num>
  <w:num w:numId="3">
    <w:abstractNumId w:val="20"/>
  </w:num>
  <w:num w:numId="4">
    <w:abstractNumId w:val="2"/>
  </w:num>
  <w:num w:numId="5">
    <w:abstractNumId w:val="8"/>
  </w:num>
  <w:num w:numId="6">
    <w:abstractNumId w:val="14"/>
  </w:num>
  <w:num w:numId="7">
    <w:abstractNumId w:val="0"/>
  </w:num>
  <w:num w:numId="8">
    <w:abstractNumId w:val="7"/>
  </w:num>
  <w:num w:numId="9">
    <w:abstractNumId w:val="5"/>
  </w:num>
  <w:num w:numId="10">
    <w:abstractNumId w:val="17"/>
  </w:num>
  <w:num w:numId="11">
    <w:abstractNumId w:val="3"/>
  </w:num>
  <w:num w:numId="12">
    <w:abstractNumId w:val="10"/>
  </w:num>
  <w:num w:numId="13">
    <w:abstractNumId w:val="11"/>
  </w:num>
  <w:num w:numId="14">
    <w:abstractNumId w:val="19"/>
  </w:num>
  <w:num w:numId="15">
    <w:abstractNumId w:val="6"/>
  </w:num>
  <w:num w:numId="16">
    <w:abstractNumId w:val="18"/>
  </w:num>
  <w:num w:numId="17">
    <w:abstractNumId w:val="21"/>
  </w:num>
  <w:num w:numId="18">
    <w:abstractNumId w:val="4"/>
  </w:num>
  <w:num w:numId="19">
    <w:abstractNumId w:val="13"/>
  </w:num>
  <w:num w:numId="20">
    <w:abstractNumId w:val="15"/>
  </w:num>
  <w:num w:numId="21">
    <w:abstractNumId w:val="9"/>
  </w:num>
  <w:num w:numId="22">
    <w:abstractNumId w:val="2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34"/>
    <w:rsid w:val="00055796"/>
    <w:rsid w:val="0007138E"/>
    <w:rsid w:val="00076EF3"/>
    <w:rsid w:val="00080D41"/>
    <w:rsid w:val="00086E3F"/>
    <w:rsid w:val="000A6C36"/>
    <w:rsid w:val="000B0C5C"/>
    <w:rsid w:val="000B5C69"/>
    <w:rsid w:val="000C2403"/>
    <w:rsid w:val="00106E44"/>
    <w:rsid w:val="00125C51"/>
    <w:rsid w:val="00141A04"/>
    <w:rsid w:val="00150E26"/>
    <w:rsid w:val="00171B34"/>
    <w:rsid w:val="00196030"/>
    <w:rsid w:val="001A310B"/>
    <w:rsid w:val="001B7A9A"/>
    <w:rsid w:val="001D2BDF"/>
    <w:rsid w:val="00202FCA"/>
    <w:rsid w:val="00220F16"/>
    <w:rsid w:val="00293056"/>
    <w:rsid w:val="002C7BEF"/>
    <w:rsid w:val="00330D03"/>
    <w:rsid w:val="0036231E"/>
    <w:rsid w:val="00367F67"/>
    <w:rsid w:val="00375AB8"/>
    <w:rsid w:val="0038544A"/>
    <w:rsid w:val="003B6873"/>
    <w:rsid w:val="003D3141"/>
    <w:rsid w:val="00400282"/>
    <w:rsid w:val="00403D10"/>
    <w:rsid w:val="00407D8D"/>
    <w:rsid w:val="00420C13"/>
    <w:rsid w:val="0043493A"/>
    <w:rsid w:val="004555C5"/>
    <w:rsid w:val="00470A01"/>
    <w:rsid w:val="00471B78"/>
    <w:rsid w:val="004A06A2"/>
    <w:rsid w:val="004A3D4B"/>
    <w:rsid w:val="004C64E0"/>
    <w:rsid w:val="004C7D96"/>
    <w:rsid w:val="00520332"/>
    <w:rsid w:val="00525BB1"/>
    <w:rsid w:val="005277E2"/>
    <w:rsid w:val="00550D09"/>
    <w:rsid w:val="00562234"/>
    <w:rsid w:val="005A0F02"/>
    <w:rsid w:val="005A753E"/>
    <w:rsid w:val="005B3C4E"/>
    <w:rsid w:val="005B5D20"/>
    <w:rsid w:val="005D0339"/>
    <w:rsid w:val="005F0124"/>
    <w:rsid w:val="005F2779"/>
    <w:rsid w:val="005F61FA"/>
    <w:rsid w:val="005F7ACA"/>
    <w:rsid w:val="00624E4D"/>
    <w:rsid w:val="00627478"/>
    <w:rsid w:val="0064219D"/>
    <w:rsid w:val="00651CFA"/>
    <w:rsid w:val="0066543D"/>
    <w:rsid w:val="00693465"/>
    <w:rsid w:val="006E4880"/>
    <w:rsid w:val="006F070F"/>
    <w:rsid w:val="006F29C0"/>
    <w:rsid w:val="006F4F21"/>
    <w:rsid w:val="00747AEF"/>
    <w:rsid w:val="007700F9"/>
    <w:rsid w:val="00785EBA"/>
    <w:rsid w:val="00795868"/>
    <w:rsid w:val="007F15FE"/>
    <w:rsid w:val="00811E76"/>
    <w:rsid w:val="008403DC"/>
    <w:rsid w:val="00852442"/>
    <w:rsid w:val="008730BA"/>
    <w:rsid w:val="008B3B94"/>
    <w:rsid w:val="008C2999"/>
    <w:rsid w:val="008E25C9"/>
    <w:rsid w:val="008F6427"/>
    <w:rsid w:val="00904A6D"/>
    <w:rsid w:val="009052EB"/>
    <w:rsid w:val="00963955"/>
    <w:rsid w:val="0096769E"/>
    <w:rsid w:val="00971FB2"/>
    <w:rsid w:val="00984AAB"/>
    <w:rsid w:val="00996A2F"/>
    <w:rsid w:val="009C49F7"/>
    <w:rsid w:val="009C5DE8"/>
    <w:rsid w:val="009C6C07"/>
    <w:rsid w:val="009F0AE1"/>
    <w:rsid w:val="00A01B0F"/>
    <w:rsid w:val="00A17986"/>
    <w:rsid w:val="00A4126E"/>
    <w:rsid w:val="00A734D4"/>
    <w:rsid w:val="00AB4ECF"/>
    <w:rsid w:val="00AD4A5E"/>
    <w:rsid w:val="00B14C2C"/>
    <w:rsid w:val="00B36E71"/>
    <w:rsid w:val="00B52963"/>
    <w:rsid w:val="00B53FEB"/>
    <w:rsid w:val="00B64180"/>
    <w:rsid w:val="00B83CD3"/>
    <w:rsid w:val="00BB5F63"/>
    <w:rsid w:val="00C0489C"/>
    <w:rsid w:val="00C14A10"/>
    <w:rsid w:val="00C4711E"/>
    <w:rsid w:val="00C61456"/>
    <w:rsid w:val="00C818E1"/>
    <w:rsid w:val="00C8689D"/>
    <w:rsid w:val="00C9457A"/>
    <w:rsid w:val="00C955D6"/>
    <w:rsid w:val="00D10382"/>
    <w:rsid w:val="00D1551D"/>
    <w:rsid w:val="00D25BE4"/>
    <w:rsid w:val="00D9060E"/>
    <w:rsid w:val="00DD0D55"/>
    <w:rsid w:val="00DD1B22"/>
    <w:rsid w:val="00DD3233"/>
    <w:rsid w:val="00E003CC"/>
    <w:rsid w:val="00E01941"/>
    <w:rsid w:val="00E16B7E"/>
    <w:rsid w:val="00E74FF5"/>
    <w:rsid w:val="00EB30BA"/>
    <w:rsid w:val="00EE17F1"/>
    <w:rsid w:val="00F3082F"/>
    <w:rsid w:val="00F43CA2"/>
    <w:rsid w:val="00F4447D"/>
    <w:rsid w:val="00F67D2E"/>
    <w:rsid w:val="00F90944"/>
    <w:rsid w:val="00F95DE0"/>
    <w:rsid w:val="00FB31E2"/>
    <w:rsid w:val="00FF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3CC6297-2A61-4908-9731-9A25A89F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2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4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67D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71B34"/>
    <w:pPr>
      <w:tabs>
        <w:tab w:val="center" w:pos="4677"/>
        <w:tab w:val="right" w:pos="9355"/>
      </w:tabs>
      <w:spacing w:after="0" w:line="240" w:lineRule="auto"/>
    </w:pPr>
  </w:style>
  <w:style w:type="character" w:customStyle="1" w:styleId="a4">
    <w:name w:val="Верхний колонтитул Знак"/>
    <w:basedOn w:val="a0"/>
    <w:link w:val="a3"/>
    <w:rsid w:val="00171B34"/>
  </w:style>
  <w:style w:type="paragraph" w:styleId="a5">
    <w:name w:val="footer"/>
    <w:basedOn w:val="a"/>
    <w:link w:val="a6"/>
    <w:uiPriority w:val="99"/>
    <w:unhideWhenUsed/>
    <w:rsid w:val="00171B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B34"/>
  </w:style>
  <w:style w:type="paragraph" w:styleId="a7">
    <w:name w:val="List Paragraph"/>
    <w:basedOn w:val="a"/>
    <w:uiPriority w:val="34"/>
    <w:qFormat/>
    <w:rsid w:val="00420C13"/>
    <w:pPr>
      <w:ind w:left="720"/>
      <w:contextualSpacing/>
    </w:pPr>
  </w:style>
  <w:style w:type="table" w:styleId="a8">
    <w:name w:val="Table Grid"/>
    <w:basedOn w:val="a1"/>
    <w:rsid w:val="00420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20C1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202FCA"/>
    <w:rPr>
      <w:rFonts w:asciiTheme="majorHAnsi" w:eastAsiaTheme="majorEastAsia" w:hAnsiTheme="majorHAnsi" w:cstheme="majorBidi"/>
      <w:color w:val="2E74B5" w:themeColor="accent1" w:themeShade="BF"/>
      <w:sz w:val="32"/>
      <w:szCs w:val="32"/>
    </w:rPr>
  </w:style>
  <w:style w:type="character" w:styleId="aa">
    <w:name w:val="Hyperlink"/>
    <w:basedOn w:val="a0"/>
    <w:uiPriority w:val="99"/>
    <w:unhideWhenUsed/>
    <w:rsid w:val="00202FCA"/>
    <w:rPr>
      <w:color w:val="0563C1" w:themeColor="hyperlink"/>
      <w:u w:val="single"/>
    </w:rPr>
  </w:style>
  <w:style w:type="character" w:customStyle="1" w:styleId="20">
    <w:name w:val="Заголовок 2 Знак"/>
    <w:basedOn w:val="a0"/>
    <w:link w:val="2"/>
    <w:uiPriority w:val="9"/>
    <w:rsid w:val="00852442"/>
    <w:rPr>
      <w:rFonts w:asciiTheme="majorHAnsi" w:eastAsiaTheme="majorEastAsia" w:hAnsiTheme="majorHAnsi" w:cstheme="majorBidi"/>
      <w:color w:val="2E74B5" w:themeColor="accent1" w:themeShade="BF"/>
      <w:sz w:val="26"/>
      <w:szCs w:val="26"/>
    </w:rPr>
  </w:style>
  <w:style w:type="paragraph" w:styleId="ab">
    <w:name w:val="Balloon Text"/>
    <w:basedOn w:val="a"/>
    <w:link w:val="ac"/>
    <w:uiPriority w:val="99"/>
    <w:semiHidden/>
    <w:unhideWhenUsed/>
    <w:rsid w:val="00EE17F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E17F1"/>
    <w:rPr>
      <w:rFonts w:ascii="Segoe UI" w:hAnsi="Segoe UI" w:cs="Segoe UI"/>
      <w:sz w:val="18"/>
      <w:szCs w:val="18"/>
    </w:rPr>
  </w:style>
  <w:style w:type="character" w:styleId="ad">
    <w:name w:val="page number"/>
    <w:basedOn w:val="a0"/>
    <w:rsid w:val="0043493A"/>
  </w:style>
  <w:style w:type="character" w:styleId="ae">
    <w:name w:val="annotation reference"/>
    <w:basedOn w:val="a0"/>
    <w:uiPriority w:val="99"/>
    <w:semiHidden/>
    <w:unhideWhenUsed/>
    <w:rsid w:val="00D25BE4"/>
    <w:rPr>
      <w:sz w:val="16"/>
      <w:szCs w:val="16"/>
    </w:rPr>
  </w:style>
  <w:style w:type="paragraph" w:styleId="af">
    <w:name w:val="annotation text"/>
    <w:basedOn w:val="a"/>
    <w:link w:val="af0"/>
    <w:uiPriority w:val="99"/>
    <w:semiHidden/>
    <w:unhideWhenUsed/>
    <w:rsid w:val="00D25BE4"/>
    <w:pPr>
      <w:spacing w:line="240" w:lineRule="auto"/>
    </w:pPr>
    <w:rPr>
      <w:sz w:val="20"/>
      <w:szCs w:val="20"/>
    </w:rPr>
  </w:style>
  <w:style w:type="character" w:customStyle="1" w:styleId="af0">
    <w:name w:val="Текст примечания Знак"/>
    <w:basedOn w:val="a0"/>
    <w:link w:val="af"/>
    <w:uiPriority w:val="99"/>
    <w:semiHidden/>
    <w:rsid w:val="00D25BE4"/>
    <w:rPr>
      <w:sz w:val="20"/>
      <w:szCs w:val="20"/>
    </w:rPr>
  </w:style>
  <w:style w:type="paragraph" w:styleId="af1">
    <w:name w:val="annotation subject"/>
    <w:basedOn w:val="af"/>
    <w:next w:val="af"/>
    <w:link w:val="af2"/>
    <w:uiPriority w:val="99"/>
    <w:semiHidden/>
    <w:unhideWhenUsed/>
    <w:rsid w:val="00D25BE4"/>
    <w:rPr>
      <w:b/>
      <w:bCs/>
    </w:rPr>
  </w:style>
  <w:style w:type="character" w:customStyle="1" w:styleId="af2">
    <w:name w:val="Тема примечания Знак"/>
    <w:basedOn w:val="af0"/>
    <w:link w:val="af1"/>
    <w:uiPriority w:val="99"/>
    <w:semiHidden/>
    <w:rsid w:val="00D25BE4"/>
    <w:rPr>
      <w:b/>
      <w:bCs/>
      <w:sz w:val="20"/>
      <w:szCs w:val="20"/>
    </w:rPr>
  </w:style>
  <w:style w:type="paragraph" w:customStyle="1" w:styleId="Heading112">
    <w:name w:val="Heading 112"/>
    <w:basedOn w:val="1"/>
    <w:qFormat/>
    <w:rsid w:val="00F67D2E"/>
    <w:pPr>
      <w:numPr>
        <w:numId w:val="4"/>
      </w:numPr>
      <w:jc w:val="center"/>
    </w:pPr>
    <w:rPr>
      <w:rFonts w:ascii="Times New Roman" w:hAnsi="Times New Roman" w:cs="Times New Roman"/>
      <w:b/>
      <w:color w:val="auto"/>
      <w:sz w:val="28"/>
    </w:rPr>
  </w:style>
  <w:style w:type="character" w:customStyle="1" w:styleId="30">
    <w:name w:val="Заголовок 3 Знак"/>
    <w:basedOn w:val="a0"/>
    <w:link w:val="3"/>
    <w:uiPriority w:val="9"/>
    <w:semiHidden/>
    <w:rsid w:val="00F67D2E"/>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F67D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7161">
      <w:bodyDiv w:val="1"/>
      <w:marLeft w:val="0"/>
      <w:marRight w:val="0"/>
      <w:marTop w:val="0"/>
      <w:marBottom w:val="0"/>
      <w:divBdr>
        <w:top w:val="none" w:sz="0" w:space="0" w:color="auto"/>
        <w:left w:val="none" w:sz="0" w:space="0" w:color="auto"/>
        <w:bottom w:val="none" w:sz="0" w:space="0" w:color="auto"/>
        <w:right w:val="none" w:sz="0" w:space="0" w:color="auto"/>
      </w:divBdr>
    </w:div>
    <w:div w:id="448741340">
      <w:bodyDiv w:val="1"/>
      <w:marLeft w:val="0"/>
      <w:marRight w:val="0"/>
      <w:marTop w:val="0"/>
      <w:marBottom w:val="0"/>
      <w:divBdr>
        <w:top w:val="none" w:sz="0" w:space="0" w:color="auto"/>
        <w:left w:val="none" w:sz="0" w:space="0" w:color="auto"/>
        <w:bottom w:val="none" w:sz="0" w:space="0" w:color="auto"/>
        <w:right w:val="none" w:sz="0" w:space="0" w:color="auto"/>
      </w:divBdr>
    </w:div>
    <w:div w:id="496002437">
      <w:bodyDiv w:val="1"/>
      <w:marLeft w:val="0"/>
      <w:marRight w:val="0"/>
      <w:marTop w:val="0"/>
      <w:marBottom w:val="0"/>
      <w:divBdr>
        <w:top w:val="none" w:sz="0" w:space="0" w:color="auto"/>
        <w:left w:val="none" w:sz="0" w:space="0" w:color="auto"/>
        <w:bottom w:val="none" w:sz="0" w:space="0" w:color="auto"/>
        <w:right w:val="none" w:sz="0" w:space="0" w:color="auto"/>
      </w:divBdr>
    </w:div>
    <w:div w:id="840435923">
      <w:bodyDiv w:val="1"/>
      <w:marLeft w:val="0"/>
      <w:marRight w:val="0"/>
      <w:marTop w:val="0"/>
      <w:marBottom w:val="0"/>
      <w:divBdr>
        <w:top w:val="none" w:sz="0" w:space="0" w:color="auto"/>
        <w:left w:val="none" w:sz="0" w:space="0" w:color="auto"/>
        <w:bottom w:val="none" w:sz="0" w:space="0" w:color="auto"/>
        <w:right w:val="none" w:sz="0" w:space="0" w:color="auto"/>
      </w:divBdr>
    </w:div>
    <w:div w:id="1218468091">
      <w:bodyDiv w:val="1"/>
      <w:marLeft w:val="0"/>
      <w:marRight w:val="0"/>
      <w:marTop w:val="0"/>
      <w:marBottom w:val="0"/>
      <w:divBdr>
        <w:top w:val="none" w:sz="0" w:space="0" w:color="auto"/>
        <w:left w:val="none" w:sz="0" w:space="0" w:color="auto"/>
        <w:bottom w:val="none" w:sz="0" w:space="0" w:color="auto"/>
        <w:right w:val="none" w:sz="0" w:space="0" w:color="auto"/>
      </w:divBdr>
    </w:div>
    <w:div w:id="1665741963">
      <w:bodyDiv w:val="1"/>
      <w:marLeft w:val="0"/>
      <w:marRight w:val="0"/>
      <w:marTop w:val="0"/>
      <w:marBottom w:val="0"/>
      <w:divBdr>
        <w:top w:val="none" w:sz="0" w:space="0" w:color="auto"/>
        <w:left w:val="none" w:sz="0" w:space="0" w:color="auto"/>
        <w:bottom w:val="none" w:sz="0" w:space="0" w:color="auto"/>
        <w:right w:val="none" w:sz="0" w:space="0" w:color="auto"/>
      </w:divBdr>
    </w:div>
    <w:div w:id="20389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c.r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D458B-0EA5-4307-8F69-DB354053484F}">
  <ds:schemaRefs>
    <ds:schemaRef ds:uri="http://schemas.openxmlformats.org/officeDocument/2006/bibliography"/>
  </ds:schemaRefs>
</ds:datastoreItem>
</file>

<file path=customXml/itemProps2.xml><?xml version="1.0" encoding="utf-8"?>
<ds:datastoreItem xmlns:ds="http://schemas.openxmlformats.org/officeDocument/2006/customXml" ds:itemID="{24619EB3-6AF8-4468-A226-8C73360CA195}"/>
</file>

<file path=customXml/itemProps3.xml><?xml version="1.0" encoding="utf-8"?>
<ds:datastoreItem xmlns:ds="http://schemas.openxmlformats.org/officeDocument/2006/customXml" ds:itemID="{D04215E2-8905-4E92-ACF5-53E739BBABBA}"/>
</file>

<file path=customXml/itemProps4.xml><?xml version="1.0" encoding="utf-8"?>
<ds:datastoreItem xmlns:ds="http://schemas.openxmlformats.org/officeDocument/2006/customXml" ds:itemID="{5E5E0D58-B334-435D-B2A6-4DC2F2055CA2}"/>
</file>

<file path=docProps/app.xml><?xml version="1.0" encoding="utf-8"?>
<Properties xmlns="http://schemas.openxmlformats.org/officeDocument/2006/extended-properties" xmlns:vt="http://schemas.openxmlformats.org/officeDocument/2006/docPropsVTypes">
  <Template>Normal.dotm</Template>
  <TotalTime>8</TotalTime>
  <Pages>2</Pages>
  <Words>633</Words>
  <Characters>3610</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Caspian Pipeline Consortium</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Budyak, Vladimir</dc:creator>
  <cp:lastModifiedBy>shar1023</cp:lastModifiedBy>
  <cp:revision>11</cp:revision>
  <cp:lastPrinted>2019-11-05T10:18:00Z</cp:lastPrinted>
  <dcterms:created xsi:type="dcterms:W3CDTF">2019-11-05T10:17:00Z</dcterms:created>
  <dcterms:modified xsi:type="dcterms:W3CDTF">2021-06-15T13:15:00Z</dcterms:modified>
</cp:coreProperties>
</file>